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45" w:rsidRDefault="00462773">
      <w:pPr>
        <w:rPr>
          <w:rFonts w:ascii="Times New Roman" w:hAnsi="Times New Roman" w:cs="Times New Roman"/>
          <w:sz w:val="24"/>
          <w:szCs w:val="24"/>
        </w:rPr>
      </w:pPr>
      <w:r w:rsidRPr="00C40C6D">
        <w:rPr>
          <w:rFonts w:ascii="Times New Roman" w:hAnsi="Times New Roman" w:cs="Times New Roman"/>
          <w:sz w:val="24"/>
          <w:szCs w:val="24"/>
        </w:rPr>
        <w:t>dr Marcin Zarzecki</w:t>
      </w:r>
    </w:p>
    <w:p w:rsidR="008F03A6" w:rsidRDefault="008F0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Uniwersytet Kardynała Stefana Wyszyńskiego w Warszawie</w:t>
      </w:r>
    </w:p>
    <w:p w:rsidR="008F03A6" w:rsidRPr="00C40C6D" w:rsidRDefault="008F03A6">
      <w:pPr>
        <w:rPr>
          <w:rFonts w:ascii="Times New Roman" w:hAnsi="Times New Roman" w:cs="Times New Roman"/>
          <w:sz w:val="24"/>
          <w:szCs w:val="24"/>
        </w:rPr>
      </w:pPr>
    </w:p>
    <w:p w:rsidR="00462773" w:rsidRPr="00C40C6D" w:rsidRDefault="00462773" w:rsidP="00C40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C6D">
        <w:rPr>
          <w:rFonts w:ascii="Times New Roman" w:hAnsi="Times New Roman" w:cs="Times New Roman"/>
          <w:b/>
          <w:sz w:val="24"/>
          <w:szCs w:val="24"/>
        </w:rPr>
        <w:t>Ekosystem organizacji trzeciego sektora w redukcji efektów wojny migracyjnej. Perspektywa teorii neoinstytucjonalnej.</w:t>
      </w:r>
    </w:p>
    <w:p w:rsidR="00462773" w:rsidRPr="00C40C6D" w:rsidRDefault="00C40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62773" w:rsidRPr="00C40C6D">
        <w:rPr>
          <w:rFonts w:ascii="Times New Roman" w:hAnsi="Times New Roman" w:cs="Times New Roman"/>
          <w:sz w:val="24"/>
          <w:szCs w:val="24"/>
        </w:rPr>
        <w:t>bstrakt:</w:t>
      </w:r>
    </w:p>
    <w:p w:rsidR="00462773" w:rsidRPr="00C40C6D" w:rsidRDefault="00462773" w:rsidP="00C40C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C6D">
        <w:rPr>
          <w:rFonts w:ascii="Times New Roman" w:hAnsi="Times New Roman" w:cs="Times New Roman"/>
          <w:color w:val="000000"/>
          <w:sz w:val="24"/>
          <w:szCs w:val="24"/>
        </w:rPr>
        <w:t xml:space="preserve">Perspektywa </w:t>
      </w:r>
      <w:proofErr w:type="spellStart"/>
      <w:r w:rsidRPr="00C40C6D">
        <w:rPr>
          <w:rFonts w:ascii="Times New Roman" w:hAnsi="Times New Roman" w:cs="Times New Roman"/>
          <w:color w:val="000000"/>
          <w:sz w:val="24"/>
          <w:szCs w:val="24"/>
        </w:rPr>
        <w:t>neoinstytucjonalna</w:t>
      </w:r>
      <w:proofErr w:type="spellEnd"/>
      <w:r w:rsidRPr="00C40C6D">
        <w:rPr>
          <w:rFonts w:ascii="Times New Roman" w:hAnsi="Times New Roman" w:cs="Times New Roman"/>
          <w:color w:val="000000"/>
          <w:sz w:val="24"/>
          <w:szCs w:val="24"/>
        </w:rPr>
        <w:t xml:space="preserve"> obliguje do uznania za aksjomat racjonalności działania podmiotów Trzeciego Sektora, nie w kategoriach </w:t>
      </w:r>
      <w:proofErr w:type="spellStart"/>
      <w:r w:rsidRPr="00C40C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smithowskiej</w:t>
      </w:r>
      <w:proofErr w:type="spellEnd"/>
      <w:r w:rsidRPr="00C40C6D">
        <w:rPr>
          <w:rFonts w:ascii="Times New Roman" w:hAnsi="Times New Roman" w:cs="Times New Roman"/>
          <w:color w:val="000000"/>
          <w:sz w:val="24"/>
          <w:szCs w:val="24"/>
        </w:rPr>
        <w:t> koncepcji </w:t>
      </w:r>
      <w:r w:rsidRPr="00C40C6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homo </w:t>
      </w:r>
      <w:proofErr w:type="spellStart"/>
      <w:r w:rsidRPr="00C40C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economicus</w:t>
      </w:r>
      <w:proofErr w:type="spellEnd"/>
      <w:r w:rsidRPr="00C40C6D">
        <w:rPr>
          <w:rFonts w:ascii="Times New Roman" w:hAnsi="Times New Roman" w:cs="Times New Roman"/>
          <w:color w:val="000000"/>
          <w:sz w:val="24"/>
          <w:szCs w:val="24"/>
        </w:rPr>
        <w:t xml:space="preserve">, bowiem racjonalność inwestycyjna determinowana jest w przypadku fundacji, stowarzyszeń czy organizacji czynnikami społecznymi a przez to ekwiwalentność interpretowana jest przez fakt uzyskiwania efektów społecznych jako konsekwencji realizowanych celów statutowych. Stanowi to antypodę ujęcia ekonomicznych rezultatów działań podmiotów komercyjnych, które z założenia są racjonalne w sensie ekonomicznym, ponieważ bazują na decyzjach stanowiących wynik wyborów kalkulujących decydentów w obszarze gry rynkowej. Analiza działań organizacji </w:t>
      </w:r>
      <w:proofErr w:type="spellStart"/>
      <w:r w:rsidRPr="00C40C6D">
        <w:rPr>
          <w:rFonts w:ascii="Times New Roman" w:hAnsi="Times New Roman" w:cs="Times New Roman"/>
          <w:color w:val="000000"/>
          <w:sz w:val="24"/>
          <w:szCs w:val="24"/>
        </w:rPr>
        <w:t>NGO's</w:t>
      </w:r>
      <w:proofErr w:type="spellEnd"/>
      <w:r w:rsidRPr="00C40C6D">
        <w:rPr>
          <w:rFonts w:ascii="Times New Roman" w:hAnsi="Times New Roman" w:cs="Times New Roman"/>
          <w:color w:val="000000"/>
          <w:sz w:val="24"/>
          <w:szCs w:val="24"/>
        </w:rPr>
        <w:t xml:space="preserve"> jako egzemplifikacji ekosystemów w sieciach kooperatywnych podmiotów, w okresie wojny na Ukrainie i kryzysu uchodźczego, warunkowana będzie przez dwie kluczowe idee obecne w ekonomii społecznej – właśnie redukcję </w:t>
      </w:r>
      <w:proofErr w:type="spellStart"/>
      <w:r w:rsidRPr="00C40C6D">
        <w:rPr>
          <w:rFonts w:ascii="Times New Roman" w:hAnsi="Times New Roman" w:cs="Times New Roman"/>
          <w:color w:val="000000"/>
          <w:sz w:val="24"/>
          <w:szCs w:val="24"/>
        </w:rPr>
        <w:t>monetarystycznej</w:t>
      </w:r>
      <w:proofErr w:type="spellEnd"/>
      <w:r w:rsidRPr="00C40C6D">
        <w:rPr>
          <w:rFonts w:ascii="Times New Roman" w:hAnsi="Times New Roman" w:cs="Times New Roman"/>
          <w:color w:val="000000"/>
          <w:sz w:val="24"/>
          <w:szCs w:val="24"/>
        </w:rPr>
        <w:t xml:space="preserve"> waloryzacji podejmowanych działań oraz ideę konstytuowania sieci potencjałów podmiotów Trzeciego Sektora i instytucji sektora finansów publicznych.  Dokonując opisu i analizy projektów </w:t>
      </w:r>
      <w:proofErr w:type="spellStart"/>
      <w:r w:rsidRPr="00C40C6D">
        <w:rPr>
          <w:rFonts w:ascii="Times New Roman" w:hAnsi="Times New Roman" w:cs="Times New Roman"/>
          <w:color w:val="000000"/>
          <w:sz w:val="24"/>
          <w:szCs w:val="24"/>
        </w:rPr>
        <w:t>wielozmiennych</w:t>
      </w:r>
      <w:proofErr w:type="spellEnd"/>
      <w:r w:rsidRPr="00C40C6D">
        <w:rPr>
          <w:rFonts w:ascii="Times New Roman" w:hAnsi="Times New Roman" w:cs="Times New Roman"/>
          <w:color w:val="000000"/>
          <w:sz w:val="24"/>
          <w:szCs w:val="24"/>
        </w:rPr>
        <w:t xml:space="preserve"> oraz </w:t>
      </w:r>
      <w:proofErr w:type="spellStart"/>
      <w:r w:rsidRPr="00C40C6D">
        <w:rPr>
          <w:rFonts w:ascii="Times New Roman" w:hAnsi="Times New Roman" w:cs="Times New Roman"/>
          <w:color w:val="000000"/>
          <w:sz w:val="24"/>
          <w:szCs w:val="24"/>
        </w:rPr>
        <w:t>latentnych</w:t>
      </w:r>
      <w:proofErr w:type="spellEnd"/>
      <w:r w:rsidRPr="00C40C6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40C6D">
        <w:rPr>
          <w:rFonts w:ascii="Times New Roman" w:hAnsi="Times New Roman" w:cs="Times New Roman"/>
          <w:color w:val="000000"/>
          <w:sz w:val="24"/>
          <w:szCs w:val="24"/>
        </w:rPr>
        <w:t>wspólnototwórcze</w:t>
      </w:r>
      <w:proofErr w:type="spellEnd"/>
      <w:r w:rsidRPr="00C40C6D">
        <w:rPr>
          <w:rFonts w:ascii="Times New Roman" w:hAnsi="Times New Roman" w:cs="Times New Roman"/>
          <w:color w:val="000000"/>
          <w:sz w:val="24"/>
          <w:szCs w:val="24"/>
        </w:rPr>
        <w:t xml:space="preserve"> i tożsamościowe efekty działań) konieczne jest wskazanie inicjatyw, których realne konsekwencje charakteryzują się krótko – i długoterminowymi rezultatami realizowanych działań. Okres kryzysu społecznego to etap bezpośrednich reakcji włączających podmioty w ogólnokrajową, a wręcz globalną walkę z rezultatami kryzysu, ale także oczekiwanie na nadchodzące konsekwencje w postaci kryzysu ekonomicznego, to strategiczny moment, by wdrożyć zmiany strukturalne ekosystemów organizacyjnych i dokonać rewizji dotychczasowych strategii funkcjonowania. Nadzwyczajny stan społeczny  diametralnie wpłynął na wszystkie podmioty i narzucił konieczność dokonania radykalnych zmian budżetów. Każda instytucja sektora finansów publicznych, komercyjna, czy </w:t>
      </w:r>
      <w:proofErr w:type="spellStart"/>
      <w:r w:rsidRPr="00C40C6D">
        <w:rPr>
          <w:rFonts w:ascii="Times New Roman" w:hAnsi="Times New Roman" w:cs="Times New Roman"/>
          <w:color w:val="000000"/>
          <w:sz w:val="24"/>
          <w:szCs w:val="24"/>
        </w:rPr>
        <w:t>NGO’s</w:t>
      </w:r>
      <w:proofErr w:type="spellEnd"/>
      <w:r w:rsidRPr="00C40C6D">
        <w:rPr>
          <w:rFonts w:ascii="Times New Roman" w:hAnsi="Times New Roman" w:cs="Times New Roman"/>
          <w:color w:val="000000"/>
          <w:sz w:val="24"/>
          <w:szCs w:val="24"/>
        </w:rPr>
        <w:t xml:space="preserve"> taki jak PFN predefiniowały budżety i plany dedykowane na rok kalendarzowy lub obrotowy, przeprowadzając kompletną rekonstrukcję wektorów zaprojektow</w:t>
      </w:r>
      <w:r w:rsidR="00C40C6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C40C6D">
        <w:rPr>
          <w:rFonts w:ascii="Times New Roman" w:hAnsi="Times New Roman" w:cs="Times New Roman"/>
          <w:color w:val="000000"/>
          <w:sz w:val="24"/>
          <w:szCs w:val="24"/>
        </w:rPr>
        <w:t>nych uprzednio działań. Obserwując zachodzące procesy nie sposób nie zauważyć, że zarówno elastyczność, jak i umiejętność reagowania na potrzeby społeczne jest jedną z podstaw funkcjonowania organizmów </w:t>
      </w:r>
      <w:r w:rsidRPr="00C40C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non profit</w:t>
      </w:r>
      <w:r w:rsidRPr="00C40C6D">
        <w:rPr>
          <w:rFonts w:ascii="Times New Roman" w:hAnsi="Times New Roman" w:cs="Times New Roman"/>
          <w:color w:val="000000"/>
          <w:sz w:val="24"/>
          <w:szCs w:val="24"/>
        </w:rPr>
        <w:t xml:space="preserve">. To rzecz jasna truizm i atrybut właściwy dla każdego </w:t>
      </w:r>
      <w:proofErr w:type="spellStart"/>
      <w:r w:rsidRPr="00C40C6D">
        <w:rPr>
          <w:rFonts w:ascii="Times New Roman" w:hAnsi="Times New Roman" w:cs="Times New Roman"/>
          <w:color w:val="000000"/>
          <w:sz w:val="24"/>
          <w:szCs w:val="24"/>
        </w:rPr>
        <w:t>NGO’s</w:t>
      </w:r>
      <w:proofErr w:type="spellEnd"/>
      <w:r w:rsidRPr="00C40C6D">
        <w:rPr>
          <w:rFonts w:ascii="Times New Roman" w:hAnsi="Times New Roman" w:cs="Times New Roman"/>
          <w:color w:val="000000"/>
          <w:sz w:val="24"/>
          <w:szCs w:val="24"/>
        </w:rPr>
        <w:t>, ale obecnie właściwości te będą determinowały tempo wychodzenia z kryzysu ekonomicznego oraz rozwój organizacyjnych kompetencji adaptacyjnych do zmieniających się warunków funkcjonowania w społeczeństwie ryzyka.</w:t>
      </w:r>
    </w:p>
    <w:sectPr w:rsidR="00462773" w:rsidRPr="00C40C6D" w:rsidSect="00990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462773"/>
    <w:rsid w:val="00462773"/>
    <w:rsid w:val="008F03A6"/>
    <w:rsid w:val="00990945"/>
    <w:rsid w:val="00C40C6D"/>
    <w:rsid w:val="00C70B5F"/>
    <w:rsid w:val="00DC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9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jstac</dc:creator>
  <cp:lastModifiedBy>jstac</cp:lastModifiedBy>
  <cp:revision>3</cp:revision>
  <dcterms:created xsi:type="dcterms:W3CDTF">2023-09-18T08:14:00Z</dcterms:created>
  <dcterms:modified xsi:type="dcterms:W3CDTF">2023-09-18T14:30:00Z</dcterms:modified>
</cp:coreProperties>
</file>