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170DE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4C442A">
        <w:rPr>
          <w:sz w:val="32"/>
          <w:szCs w:val="32"/>
        </w:rPr>
        <w:t>2</w:t>
      </w:r>
    </w:p>
    <w:p w:rsidR="004C442A" w:rsidRPr="00C10452" w:rsidRDefault="004C442A">
      <w:pPr>
        <w:rPr>
          <w:sz w:val="32"/>
          <w:szCs w:val="32"/>
        </w:rPr>
      </w:pPr>
      <w:r>
        <w:rPr>
          <w:sz w:val="32"/>
          <w:szCs w:val="32"/>
        </w:rPr>
        <w:t>Dziennik praktyk nr 1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4C442A" w:rsidRPr="00C10452" w:rsidRDefault="004C442A">
      <w:pPr>
        <w:rPr>
          <w:sz w:val="32"/>
          <w:szCs w:val="32"/>
        </w:rPr>
      </w:pPr>
      <w:r>
        <w:rPr>
          <w:sz w:val="32"/>
          <w:szCs w:val="32"/>
        </w:rPr>
        <w:t xml:space="preserve">Specjalność: Pedagogika opiekuńcza i resocjalizacyjna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544D7C">
        <w:rPr>
          <w:sz w:val="32"/>
          <w:szCs w:val="32"/>
        </w:rPr>
        <w:t>10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9E44DF" w:rsidRPr="00544D7C">
        <w:rPr>
          <w:rFonts w:ascii="Bookman Old Style" w:hAnsi="Bookman Old Style"/>
          <w:sz w:val="22"/>
          <w:szCs w:val="22"/>
        </w:rPr>
        <w:fldChar w:fldCharType="begin"/>
      </w:r>
      <w:r w:rsidRPr="00544D7C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9E44DF" w:rsidRPr="00544D7C">
        <w:rPr>
          <w:rFonts w:ascii="Bookman Old Style" w:hAnsi="Bookman Old Style"/>
          <w:sz w:val="22"/>
          <w:szCs w:val="22"/>
        </w:rPr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9E44DF" w:rsidRPr="00544D7C">
        <w:rPr>
          <w:rFonts w:ascii="Bookman Old Style" w:hAnsi="Bookman Old Style"/>
          <w:sz w:val="22"/>
          <w:szCs w:val="22"/>
        </w:rPr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Default="008B0939" w:rsidP="008B0939">
      <w:pPr>
        <w:jc w:val="center"/>
        <w:rPr>
          <w:b/>
        </w:rPr>
      </w:pPr>
      <w:r>
        <w:rPr>
          <w:b/>
        </w:rPr>
        <w:t xml:space="preserve">(Przygotowanie w zakresie </w:t>
      </w:r>
      <w:r w:rsidR="009E3FFC">
        <w:rPr>
          <w:b/>
        </w:rPr>
        <w:t>opiekuńczo-wychowawcz</w:t>
      </w:r>
      <w:r w:rsidR="006739BE">
        <w:rPr>
          <w:b/>
        </w:rPr>
        <w:t>ym</w:t>
      </w:r>
      <w:r>
        <w:rPr>
          <w:b/>
        </w:rPr>
        <w:t>)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8B0939" w:rsidRPr="00AB0DA3" w:rsidRDefault="008B0939" w:rsidP="00AB0DA3">
      <w:pPr>
        <w:rPr>
          <w:b/>
        </w:rPr>
      </w:pPr>
    </w:p>
    <w:p w:rsidR="00C654F8" w:rsidRDefault="00C654F8" w:rsidP="00C654F8">
      <w:r w:rsidRPr="00C654F8">
        <w:rPr>
          <w:rStyle w:val="podgl"/>
        </w:rPr>
        <w:t>Przed rozpoczęciem praktyki student powinien:</w:t>
      </w:r>
    </w:p>
    <w:p w:rsidR="00C654F8" w:rsidRDefault="00C654F8" w:rsidP="00C654F8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 w:rsidR="00ED2519">
        <w:rPr>
          <w:rStyle w:val="podgl"/>
        </w:rPr>
        <w:t>ii i pedagogiki,</w:t>
      </w:r>
    </w:p>
    <w:p w:rsidR="00C654F8" w:rsidRDefault="00C654F8" w:rsidP="00ED2519">
      <w:pPr>
        <w:ind w:left="142" w:hanging="142"/>
      </w:pPr>
      <w:r w:rsidRPr="00C654F8">
        <w:rPr>
          <w:rStyle w:val="podgl"/>
        </w:rPr>
        <w:t xml:space="preserve">- znać specyfikę </w:t>
      </w:r>
      <w:r w:rsidR="00ED2519">
        <w:rPr>
          <w:rStyle w:val="podgl"/>
        </w:rPr>
        <w:t>pracy pedagoga,</w:t>
      </w:r>
    </w:p>
    <w:p w:rsidR="00DC5E15" w:rsidRDefault="00C654F8" w:rsidP="00C654F8">
      <w:pPr>
        <w:ind w:left="142" w:hanging="142"/>
        <w:rPr>
          <w:rStyle w:val="podgl"/>
        </w:rPr>
      </w:pPr>
      <w:r w:rsidRPr="00C654F8">
        <w:rPr>
          <w:rStyle w:val="podgl"/>
        </w:rPr>
        <w:t xml:space="preserve">- znać </w:t>
      </w:r>
      <w:r w:rsidR="00DC5E15">
        <w:rPr>
          <w:rStyle w:val="podgl"/>
        </w:rPr>
        <w:t>fazy</w:t>
      </w:r>
      <w:r w:rsidRPr="00C654F8">
        <w:rPr>
          <w:rStyle w:val="podgl"/>
        </w:rPr>
        <w:t xml:space="preserve"> rozwojowe</w:t>
      </w:r>
      <w:r w:rsidR="00DC5E15">
        <w:rPr>
          <w:rStyle w:val="podgl"/>
        </w:rPr>
        <w:t xml:space="preserve"> człowieka,</w:t>
      </w:r>
      <w:r w:rsidRPr="00C654F8">
        <w:rPr>
          <w:rStyle w:val="podgl"/>
        </w:rPr>
        <w:t xml:space="preserve"> 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</w:p>
    <w:p w:rsidR="002F7013" w:rsidRDefault="002F7013" w:rsidP="00AB0DA3">
      <w:pPr>
        <w:jc w:val="both"/>
        <w:rPr>
          <w:b/>
        </w:rPr>
      </w:pP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8B0939" w:rsidRDefault="008B0939" w:rsidP="002F7013">
      <w:pPr>
        <w:jc w:val="both"/>
      </w:pP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</w:t>
      </w:r>
      <w:r w:rsidR="00ED2519">
        <w:rPr>
          <w:rStyle w:val="podgl"/>
        </w:rPr>
        <w:t>nizacji pracy szkoły</w:t>
      </w:r>
      <w:r w:rsidRPr="002F7013">
        <w:rPr>
          <w:rStyle w:val="podgl"/>
        </w:rPr>
        <w:t xml:space="preserve">, uczestników procesów pedagogicznych oraz prowadzonej </w:t>
      </w:r>
      <w:r w:rsidR="00F27E4C" w:rsidRPr="002F7013">
        <w:rPr>
          <w:rStyle w:val="podgl"/>
        </w:rPr>
        <w:t>dokumentacji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Przygotowanie studentów do zawodu - pełnienia roli </w:t>
      </w:r>
      <w:r w:rsidR="00ED2519">
        <w:rPr>
          <w:rStyle w:val="podgl"/>
        </w:rPr>
        <w:t>pedagoga.</w:t>
      </w:r>
    </w:p>
    <w:p w:rsidR="0081188F" w:rsidRP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Doskonalenie </w:t>
      </w:r>
      <w:r w:rsidR="00F27E4C" w:rsidRPr="002F7013">
        <w:rPr>
          <w:rStyle w:val="podgl"/>
        </w:rPr>
        <w:t>warsztatu</w:t>
      </w:r>
      <w:r w:rsidRPr="002F7013">
        <w:rPr>
          <w:rStyle w:val="podgl"/>
        </w:rPr>
        <w:t xml:space="preserve">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 w:rsidR="005A49DC"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 w:rsidR="005A49DC"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 xml:space="preserve">- poznawania uczniów </w:t>
      </w:r>
      <w:r w:rsidRPr="002F7013">
        <w:br/>
      </w:r>
      <w:r w:rsidRPr="002F7013">
        <w:rPr>
          <w:rStyle w:val="podgl"/>
        </w:rPr>
        <w:t>- analizy i interpretacji zdarzeń pedagogicznych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 w:rsidR="005A49DC">
        <w:rPr>
          <w:rStyle w:val="podgl"/>
        </w:rPr>
        <w:t>.</w:t>
      </w:r>
    </w:p>
    <w:p w:rsidR="00472EB9" w:rsidRDefault="00472EB9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E11D72" w:rsidRDefault="00E11D72" w:rsidP="00AB0DA3">
      <w:pPr>
        <w:jc w:val="both"/>
        <w:rPr>
          <w:b/>
        </w:rPr>
      </w:pPr>
    </w:p>
    <w:p w:rsidR="007D1E66" w:rsidRPr="008A6BD3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</w:t>
      </w:r>
    </w:p>
    <w:p w:rsidR="008A6BD3" w:rsidRPr="007D1E66" w:rsidRDefault="008A6BD3" w:rsidP="008A6BD3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 oraz prowadzonej dokumentacji.</w:t>
      </w:r>
    </w:p>
    <w:p w:rsidR="008A6BD3" w:rsidRDefault="008A6BD3" w:rsidP="008A6BD3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072F39" w:rsidRPr="007D1E66" w:rsidRDefault="00072F39" w:rsidP="00072F39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</w:t>
      </w:r>
      <w:r w:rsidR="00ED2519">
        <w:rPr>
          <w:bCs/>
        </w:rPr>
        <w:t xml:space="preserve"> danej klasy</w:t>
      </w:r>
      <w:r w:rsidRPr="007D1E66">
        <w:rPr>
          <w:bCs/>
        </w:rPr>
        <w:t>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D2152A" w:rsidRDefault="00D2152A" w:rsidP="00D2152A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 xml:space="preserve"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</w:t>
      </w:r>
      <w:r w:rsidR="000633AE" w:rsidRPr="007D1E66">
        <w:rPr>
          <w:bCs/>
        </w:rPr>
        <w:t>obowiązujących</w:t>
      </w:r>
      <w:r w:rsidRPr="007D1E66">
        <w:rPr>
          <w:bCs/>
        </w:rPr>
        <w:t xml:space="preserve"> zasad opartych na samodzielnie opracowanych scenariuszach.</w:t>
      </w:r>
    </w:p>
    <w:p w:rsidR="00E0732D" w:rsidRDefault="00E0732D" w:rsidP="00E0732D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7D1E66" w:rsidRPr="007D1E66" w:rsidRDefault="007D1E66" w:rsidP="00567D5A">
      <w:pPr>
        <w:autoSpaceDE w:val="0"/>
        <w:autoSpaceDN w:val="0"/>
        <w:adjustRightInd w:val="0"/>
        <w:rPr>
          <w:bCs/>
        </w:rPr>
      </w:pPr>
    </w:p>
    <w:p w:rsidR="00C94397" w:rsidRDefault="00C9439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Default="008B093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</w:t>
      </w:r>
      <w:r w:rsidR="006F1CE3">
        <w:rPr>
          <w:rFonts w:eastAsia="DejaVuSansCondensedBold"/>
          <w:b/>
          <w:bCs/>
          <w:color w:val="000000"/>
        </w:rPr>
        <w:t>Miejsca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  <w:r w:rsidR="00ED2519">
        <w:rPr>
          <w:rFonts w:eastAsia="DejaVuSansCondensedBold"/>
          <w:b/>
          <w:bCs/>
          <w:color w:val="000000"/>
        </w:rPr>
        <w:t xml:space="preserve"> - Pedagog lub wychowawca klasy w:</w:t>
      </w: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2E424E" w:rsidRPr="009E3FFC" w:rsidRDefault="00D43865" w:rsidP="009E3FF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</w:t>
      </w:r>
      <w:r w:rsidR="00ED2519">
        <w:rPr>
          <w:rFonts w:ascii="Times New Roman" w:hAnsi="Times New Roman"/>
          <w:sz w:val="24"/>
          <w:szCs w:val="24"/>
        </w:rPr>
        <w:t xml:space="preserve">le podstawowej </w:t>
      </w:r>
    </w:p>
    <w:p w:rsidR="00170DED" w:rsidRDefault="00170DED" w:rsidP="00DA2F7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Liceum</w:t>
      </w:r>
    </w:p>
    <w:p w:rsidR="00ED2519" w:rsidRDefault="00170DED" w:rsidP="002E424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ED">
        <w:rPr>
          <w:rFonts w:ascii="Times New Roman" w:hAnsi="Times New Roman"/>
          <w:sz w:val="24"/>
          <w:szCs w:val="24"/>
        </w:rPr>
        <w:t>Technikum</w:t>
      </w:r>
    </w:p>
    <w:p w:rsidR="009E3FFC" w:rsidRDefault="009E3FFC" w:rsidP="009E3FFC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70DED" w:rsidRDefault="00170DED" w:rsidP="00170DED"/>
    <w:p w:rsidR="00170DED" w:rsidRDefault="00170DED" w:rsidP="00170DED"/>
    <w:p w:rsidR="00170DED" w:rsidRDefault="00170DED" w:rsidP="00170DED"/>
    <w:p w:rsidR="0012110A" w:rsidRDefault="0012110A">
      <w: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ED2519" w:rsidRPr="00627C93" w:rsidTr="00ED2519">
        <w:trPr>
          <w:trHeight w:val="451"/>
        </w:trPr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544D7C" w:rsidP="00436B97">
            <w:pPr>
              <w:jc w:val="both"/>
              <w:rPr>
                <w:sz w:val="20"/>
                <w:szCs w:val="20"/>
              </w:rPr>
            </w:pPr>
            <w:r w:rsidRPr="00544D7C">
              <w:rPr>
                <w:bCs/>
                <w:color w:val="000000"/>
                <w:sz w:val="20"/>
                <w:szCs w:val="20"/>
              </w:rPr>
              <w:t>Student zna akty prawne wyznaczające zasady funkcjonowania placówek opiekuńczych i resocjalizacyjnych w Polsce.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rPr>
          <w:trHeight w:val="100"/>
        </w:trPr>
        <w:tc>
          <w:tcPr>
            <w:tcW w:w="1305" w:type="dxa"/>
          </w:tcPr>
          <w:p w:rsidR="00ED2519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544D7C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544D7C">
              <w:rPr>
                <w:bCs/>
                <w:color w:val="000000"/>
                <w:sz w:val="20"/>
                <w:szCs w:val="20"/>
              </w:rPr>
              <w:t>Student wie jak dobrać metody i środki oddziaływań pedagogicznych w poszczególnych działaniach opiekuńczo-resocjalizacyjnych.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544D7C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D7C">
              <w:rPr>
                <w:bCs/>
                <w:color w:val="000000"/>
                <w:sz w:val="20"/>
                <w:szCs w:val="20"/>
              </w:rPr>
              <w:t>Student pracuje z podopiecznymi w zakładach opiekuńczych i resocjalizacyjnych.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A9499B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9499B">
              <w:rPr>
                <w:rFonts w:eastAsia="DejaVuSansCondensedBold"/>
                <w:bCs/>
                <w:sz w:val="20"/>
                <w:szCs w:val="20"/>
              </w:rPr>
              <w:t>Student konfrontuje wiedzę pedagogiczną z sytuacją wychowawczą; nabiera doświadczenia i dostosowuje dostępne mu środki do sytuacji wychowawczej.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ED2519" w:rsidRPr="003264ED" w:rsidRDefault="00A9499B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9499B">
              <w:rPr>
                <w:rFonts w:eastAsia="DejaVuSansCondensedBold"/>
                <w:bCs/>
                <w:sz w:val="20"/>
                <w:szCs w:val="20"/>
              </w:rPr>
              <w:t>Student w sposób odpowiedzialny planuje i realizuje zadania wynikające z roli pedagoga.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A9499B" w:rsidRPr="00627C93" w:rsidTr="00ED2519">
        <w:tc>
          <w:tcPr>
            <w:tcW w:w="1305" w:type="dxa"/>
          </w:tcPr>
          <w:p w:rsidR="00A9499B" w:rsidRPr="00627C93" w:rsidRDefault="00A9499B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A9499B" w:rsidRPr="00A9499B" w:rsidRDefault="00A9499B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A9499B">
              <w:rPr>
                <w:rFonts w:eastAsia="DejaVuSansCondensedBold"/>
                <w:bCs/>
                <w:sz w:val="20"/>
                <w:szCs w:val="20"/>
              </w:rPr>
              <w:t>Student postępuje zgodnie z zasadami etyki zawodowej.</w:t>
            </w:r>
          </w:p>
        </w:tc>
        <w:tc>
          <w:tcPr>
            <w:tcW w:w="1418" w:type="dxa"/>
          </w:tcPr>
          <w:p w:rsidR="00A9499B" w:rsidRPr="00627C93" w:rsidRDefault="00A9499B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A9499B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85" w:rsidRDefault="00AE5785">
      <w:r>
        <w:separator/>
      </w:r>
    </w:p>
  </w:endnote>
  <w:endnote w:type="continuationSeparator" w:id="0">
    <w:p w:rsidR="00AE5785" w:rsidRDefault="00AE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E44D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E44D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10A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85" w:rsidRDefault="00AE5785">
      <w:r>
        <w:separator/>
      </w:r>
    </w:p>
  </w:footnote>
  <w:footnote w:type="continuationSeparator" w:id="0">
    <w:p w:rsidR="00AE5785" w:rsidRDefault="00AE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0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A4C6E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739BE"/>
    <w:rsid w:val="0067430E"/>
    <w:rsid w:val="006C1917"/>
    <w:rsid w:val="006C39EE"/>
    <w:rsid w:val="006D08DF"/>
    <w:rsid w:val="006D0B8B"/>
    <w:rsid w:val="006F1CE3"/>
    <w:rsid w:val="006F4085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E223-666D-469C-A663-0E3D83A0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2596</Words>
  <Characters>15582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15</cp:revision>
  <cp:lastPrinted>2013-06-13T07:52:00Z</cp:lastPrinted>
  <dcterms:created xsi:type="dcterms:W3CDTF">2017-10-13T10:04:00Z</dcterms:created>
  <dcterms:modified xsi:type="dcterms:W3CDTF">2022-08-30T12:08:00Z</dcterms:modified>
</cp:coreProperties>
</file>