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8E7DBE">
        <w:rPr>
          <w:sz w:val="32"/>
          <w:szCs w:val="32"/>
        </w:rPr>
        <w:t>4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8E7DBE">
        <w:rPr>
          <w:sz w:val="32"/>
          <w:szCs w:val="32"/>
        </w:rPr>
        <w:t>2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5B20DB" w:rsidRPr="00544D7C">
        <w:rPr>
          <w:rFonts w:ascii="Bookman Old Style" w:hAnsi="Bookman Old Style"/>
          <w:sz w:val="22"/>
          <w:szCs w:val="22"/>
        </w:rPr>
        <w:fldChar w:fldCharType="begin"/>
      </w:r>
      <w:r w:rsidRPr="00544D7C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5B20DB" w:rsidRPr="00544D7C">
        <w:rPr>
          <w:rFonts w:ascii="Bookman Old Style" w:hAnsi="Bookman Old Style"/>
          <w:sz w:val="22"/>
          <w:szCs w:val="22"/>
        </w:rPr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5B20DB" w:rsidRPr="00544D7C">
        <w:rPr>
          <w:rFonts w:ascii="Bookman Old Style" w:hAnsi="Bookman Old Style"/>
          <w:sz w:val="22"/>
          <w:szCs w:val="22"/>
        </w:rPr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Podstawy fizjologii i higieny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Analiza i ocena zagrożeń.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Sposoby opracowania ryzyka zawodowego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Przepisy dotyczące wypadku przy pracy i chorób zawodowych.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Ochrona przeciwpożarowa i ratownictwo.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Ergonomia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 xml:space="preserve">Przepisy dotyczące szkoleń z zakresu </w:t>
      </w:r>
      <w:proofErr w:type="spellStart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bhp</w:t>
      </w:r>
      <w:proofErr w:type="spellEnd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7013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 xml:space="preserve">Sposoby i metody przeprowadzania szkoleń </w:t>
      </w:r>
      <w:proofErr w:type="spellStart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bhp</w:t>
      </w:r>
      <w:proofErr w:type="spellEnd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8E7DBE" w:rsidP="002F7013">
      <w:pPr>
        <w:jc w:val="both"/>
        <w:rPr>
          <w:rStyle w:val="podgl"/>
        </w:rPr>
      </w:pPr>
      <w:r w:rsidRPr="008E7DBE">
        <w:rPr>
          <w:rStyle w:val="podgl"/>
        </w:rPr>
        <w:t xml:space="preserve">Celem zajęć praktycznych jest zdobycie i utrwalenie przez studentów wiadomości, nawyków i sprawności koniecznych do prawidłowego wykonywania zawodu inspektora pracy. W czasie zajęć praktycznych słuchacz zobowiązany jest o wykonywania zadań, które mieszczą się w celach szczegółowych praktyki, głownie w celu umiejscowienia wiedzy teoretycznej w działaniu praktycznym. Zasady łączenia teorii z praktyką służy w procesie dydaktycznym do przygotowania studentów do racjonalnego posługiwania się wiedzą w rozmaitych sytuacjach praktycznych, do przekształcenia otaczającej  rzeczywistości. Praktyka ma przygotować do radzenia sobie w przyszłej pracy, a ponadto będąc sama w sobie źródłem wiedzy o świecie, stanowi ważne kryterium prawdziwości wiedzy teoretycznej uzyskiwanej w czasie </w:t>
      </w:r>
      <w:proofErr w:type="spellStart"/>
      <w:r w:rsidRPr="008E7DBE">
        <w:rPr>
          <w:rStyle w:val="podgl"/>
        </w:rPr>
        <w:t>studiów</w:t>
      </w:r>
      <w:proofErr w:type="spellEnd"/>
      <w:r w:rsidRPr="008E7DBE">
        <w:rPr>
          <w:rStyle w:val="podgl"/>
        </w:rPr>
        <w:t>, zdobycie doświadczenia praktycznego do pracy dydaktycznej na szkoleniach z zakresu bezpieczeństwa i higieny pracy.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Cs/>
        </w:rPr>
      </w:pPr>
      <w:r w:rsidRPr="00DD6688">
        <w:rPr>
          <w:bCs/>
        </w:rPr>
        <w:t xml:space="preserve">Zadania służby </w:t>
      </w:r>
      <w:proofErr w:type="spellStart"/>
      <w:r w:rsidRPr="00DD6688">
        <w:rPr>
          <w:bCs/>
        </w:rPr>
        <w:t>bhp</w:t>
      </w:r>
      <w:proofErr w:type="spellEnd"/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Zadania </w:t>
      </w:r>
      <w:proofErr w:type="spellStart"/>
      <w:r w:rsidRPr="00DD6688">
        <w:rPr>
          <w:bCs/>
        </w:rPr>
        <w:t>społecznej</w:t>
      </w:r>
      <w:proofErr w:type="spellEnd"/>
      <w:r w:rsidRPr="00DD6688">
        <w:rPr>
          <w:bCs/>
        </w:rPr>
        <w:t xml:space="preserve"> inspekcji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DD6688">
        <w:rPr>
          <w:bCs/>
        </w:rPr>
        <w:t>Poszukiwanie zagrożeń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Ryzyko zawodowe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Wypadki i choroby zawodowe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Szkolenia </w:t>
      </w:r>
      <w:proofErr w:type="spellStart"/>
      <w:r w:rsidRPr="00DD6688">
        <w:rPr>
          <w:bCs/>
        </w:rPr>
        <w:t>bhp</w:t>
      </w:r>
      <w:proofErr w:type="spellEnd"/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Zasady organizacji szkoleń z zakresu </w:t>
      </w:r>
      <w:proofErr w:type="spellStart"/>
      <w:r w:rsidRPr="00DD6688">
        <w:rPr>
          <w:bCs/>
        </w:rPr>
        <w:t>bhp</w:t>
      </w:r>
      <w:proofErr w:type="spellEnd"/>
      <w:r w:rsidRPr="00DD6688"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Nadzór zewnętrzny nad warunkami bezpieczeństwa w zakładzie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Ochrona przeciwpożarowa w zakładzie.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Komisja bezpieczeństwa i higieny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Sprzęt ochrony i roboczy na stanowisku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Instrukcje bezpieczeństwa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Badania środowiskowe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35753" w:rsidRDefault="00735753" w:rsidP="00816C53">
      <w:pPr>
        <w:pStyle w:val="Tekstpodstawowy"/>
        <w:jc w:val="center"/>
        <w:rPr>
          <w:b/>
        </w:rPr>
      </w:pPr>
    </w:p>
    <w:p w:rsidR="008E7DBE" w:rsidRDefault="008E7DBE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DD6688" w:rsidP="00436B97">
            <w:pPr>
              <w:jc w:val="both"/>
              <w:rPr>
                <w:sz w:val="20"/>
                <w:szCs w:val="20"/>
              </w:rPr>
            </w:pPr>
            <w:r w:rsidRPr="00DD6688">
              <w:rPr>
                <w:bCs/>
                <w:color w:val="000000"/>
                <w:sz w:val="20"/>
                <w:szCs w:val="20"/>
              </w:rPr>
              <w:t xml:space="preserve">Student ma podstawową wiedzę w zakresie niezbędnym do zrozumienia celów i zadań służby BHP. Potrafi zaproponować odpowiednie metody do zadań służb BHP. Układa pracę służb </w:t>
            </w:r>
            <w:proofErr w:type="spellStart"/>
            <w:r w:rsidRPr="00DD6688">
              <w:rPr>
                <w:bCs/>
                <w:color w:val="000000"/>
                <w:sz w:val="20"/>
                <w:szCs w:val="20"/>
              </w:rPr>
              <w:t>bhp</w:t>
            </w:r>
            <w:proofErr w:type="spellEnd"/>
            <w:r w:rsidRPr="00DD668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elementarną wiedzę na temat cyklu życia środków ochrony zbiorowej i indywidualnej oraz obiektów technicznych związanych ze środowiskiem pracy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objaśnić formy prowadzenia działalności gospodarczej, zarządzać jakością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Zna ogólne zasady tworzenia i rozwoju form indywidualnej przedsiębiorczości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pracować indywidualnie i w zespole. Student potrafi porozumiewać się przy użyciu różnych technik w środowisku zawodowym oraz innych środowiskach.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opracować dokumentację dotyczącą zadania bhp - sporządzić raport, sprawozdanie, prezentację.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688">
              <w:rPr>
                <w:sz w:val="20"/>
                <w:szCs w:val="20"/>
              </w:rPr>
              <w:t>Student potrafi przygotować i przedstawić krótką prezentację poświęconą wynikom realizacji zadania inżynierskiego.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umiejętność samokształcenia się w zakresie problematyki bezpieczeństwa pracy i ochrony zdrowia.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zawodowego, oceny niezawodności człowieka w zakładzie pracy. Potrafi porównać, skrytykować i wyciągnąć wnioski dot.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posłużyć się właściwie dobranymi programami komputerowymi do prowadzenia dokumentacji BHP. Umie ocenić ryzyko zawodowe z pomoc programów komputerowych.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w ramach funkcji doradczo-kontrolnych wybrane kontrole wycinkowe (w tym pomiary) związane z wybranymi czynnikami środowiska pracy i kontrolę kompleksową. Student umie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stan bhp z wykorzystaniem list kontrolnych, dokumentacji techniczno-ruchowej.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oświetlenie stanowisk pracy uwzględniając wymagania norm, bhp, ergonomiczne oraz energetyczne i wskazać metody poprawy uwzględniając koszty poprawy.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ograniczenie hałasu na stanowisku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pomiary/badania/symulacje komputerowe mające na celu ocenę środowiska pracy z uwzględnieniem szkodliwych czynników fizycznych, chemicznych, biologicznych lub psychofizycznych, interpretować uzyskane wyniki i wyciągać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stosuje zasady bezpieczeństwa i higieny pracy w zakładzie. Przestrzega regulaminu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przydatność rutynowych metod i narzędzi do kształtowania bezpiecznych, higienicznych i ergonomicznych warunków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zarządzać bezpieczeństwem i higieną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prowadzić szkolenia bhp pracowników z wykorzystaniem odpowiednich form kształcenia, metod oraz środków.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i rozumie pozatechniczne aspekty i skutki działalności inżyniera bezpieczeństwa i higieny pracy. Ma świadomość odpowiedzialności za swoje decyzje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wykazuje zdolność kreatywnego podejścia do identyfikacji zagrożeń w miejscu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 xml:space="preserve">Rozumie odpowiedzialność za prowadzenie szkoleń i innych form doskonalenia zawodowego w obszarze </w:t>
            </w:r>
            <w:proofErr w:type="spellStart"/>
            <w:r w:rsidRPr="00DD6688">
              <w:rPr>
                <w:rFonts w:eastAsia="DejaVuSansCondensedBold"/>
                <w:bCs/>
                <w:sz w:val="20"/>
                <w:szCs w:val="20"/>
              </w:rPr>
              <w:t>bhp</w:t>
            </w:r>
            <w:proofErr w:type="spellEnd"/>
            <w:r w:rsidRPr="00DD6688"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BD131D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D6688">
              <w:rPr>
                <w:b/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BC" w:rsidRDefault="000D7DBC">
      <w:r>
        <w:separator/>
      </w:r>
    </w:p>
  </w:endnote>
  <w:endnote w:type="continuationSeparator" w:id="0">
    <w:p w:rsidR="000D7DBC" w:rsidRDefault="000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5B20DB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5B20DB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FF4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BC" w:rsidRDefault="000D7DBC">
      <w:r>
        <w:separator/>
      </w:r>
    </w:p>
  </w:footnote>
  <w:footnote w:type="continuationSeparator" w:id="0">
    <w:p w:rsidR="000D7DBC" w:rsidRDefault="000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7DBC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B20DB"/>
    <w:rsid w:val="005D2FF4"/>
    <w:rsid w:val="005F01CE"/>
    <w:rsid w:val="00605249"/>
    <w:rsid w:val="00615DB7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536AB"/>
    <w:rsid w:val="008723A6"/>
    <w:rsid w:val="0089536C"/>
    <w:rsid w:val="00896491"/>
    <w:rsid w:val="008A6BD3"/>
    <w:rsid w:val="008B0939"/>
    <w:rsid w:val="008B32DF"/>
    <w:rsid w:val="008E7DBE"/>
    <w:rsid w:val="0090542D"/>
    <w:rsid w:val="0094692C"/>
    <w:rsid w:val="00950295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D131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29CB0-5DBF-4D59-9E13-C91E170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2900</Words>
  <Characters>17403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2022-08-31T08:30:00Z</dcterms:created>
  <dcterms:modified xsi:type="dcterms:W3CDTF">2022-10-17T07:33:00Z</dcterms:modified>
</cp:coreProperties>
</file>